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AE" w:rsidRPr="00952CAE" w:rsidRDefault="00952CAE">
      <w:pPr>
        <w:rPr>
          <w:b/>
          <w:sz w:val="28"/>
        </w:rPr>
      </w:pPr>
      <w:r w:rsidRPr="00952CAE">
        <w:rPr>
          <w:b/>
          <w:sz w:val="28"/>
        </w:rPr>
        <w:t>Example CPD log May 2016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07"/>
        <w:gridCol w:w="1005"/>
        <w:gridCol w:w="1213"/>
        <w:gridCol w:w="2320"/>
        <w:gridCol w:w="5245"/>
      </w:tblGrid>
      <w:tr w:rsidR="000C2DC7" w:rsidRPr="0010608B" w:rsidTr="009C332E">
        <w:tc>
          <w:tcPr>
            <w:tcW w:w="707" w:type="dxa"/>
          </w:tcPr>
          <w:p w:rsidR="000C2DC7" w:rsidRPr="0010608B" w:rsidRDefault="000C2DC7">
            <w:r w:rsidRPr="0010608B">
              <w:t>Date</w:t>
            </w:r>
          </w:p>
        </w:tc>
        <w:tc>
          <w:tcPr>
            <w:tcW w:w="1005" w:type="dxa"/>
          </w:tcPr>
          <w:p w:rsidR="000C2DC7" w:rsidRDefault="00F869FA">
            <w:r>
              <w:t>Time (hr)</w:t>
            </w:r>
          </w:p>
          <w:p w:rsidR="00F869FA" w:rsidRPr="0010608B" w:rsidRDefault="00F869FA">
            <w:r>
              <w:t>credits</w:t>
            </w:r>
          </w:p>
        </w:tc>
        <w:tc>
          <w:tcPr>
            <w:tcW w:w="1213" w:type="dxa"/>
          </w:tcPr>
          <w:p w:rsidR="000C2DC7" w:rsidRPr="0010608B" w:rsidRDefault="000C2DC7">
            <w:r w:rsidRPr="0010608B">
              <w:t>Type of activity</w:t>
            </w:r>
          </w:p>
        </w:tc>
        <w:tc>
          <w:tcPr>
            <w:tcW w:w="2320" w:type="dxa"/>
          </w:tcPr>
          <w:p w:rsidR="000C2DC7" w:rsidRPr="0010608B" w:rsidRDefault="000C2DC7">
            <w:r w:rsidRPr="0010608B">
              <w:t>Topic</w:t>
            </w:r>
          </w:p>
        </w:tc>
        <w:tc>
          <w:tcPr>
            <w:tcW w:w="5245" w:type="dxa"/>
          </w:tcPr>
          <w:p w:rsidR="000C2DC7" w:rsidRPr="0010608B" w:rsidRDefault="00615B84" w:rsidP="00615B84">
            <w:pPr>
              <w:autoSpaceDE w:val="0"/>
              <w:autoSpaceDN w:val="0"/>
              <w:adjustRightInd w:val="0"/>
            </w:pPr>
            <w:r w:rsidRPr="0010608B">
              <w:rPr>
                <w:rFonts w:cs="MyriadPro-Regular"/>
              </w:rPr>
              <w:t>Outcome of learning and  reflection /  action taken and next steps</w:t>
            </w:r>
          </w:p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0C2DC7"/>
        </w:tc>
        <w:tc>
          <w:tcPr>
            <w:tcW w:w="1213" w:type="dxa"/>
          </w:tcPr>
          <w:p w:rsidR="000C2DC7" w:rsidRPr="0010608B" w:rsidRDefault="000C2DC7"/>
        </w:tc>
        <w:tc>
          <w:tcPr>
            <w:tcW w:w="2320" w:type="dxa"/>
          </w:tcPr>
          <w:p w:rsidR="000C2DC7" w:rsidRPr="0010608B" w:rsidRDefault="000C2DC7"/>
        </w:tc>
        <w:tc>
          <w:tcPr>
            <w:tcW w:w="5245" w:type="dxa"/>
          </w:tcPr>
          <w:p w:rsidR="000C2DC7" w:rsidRPr="0010608B" w:rsidRDefault="000C2DC7"/>
        </w:tc>
      </w:tr>
      <w:tr w:rsidR="00615B84" w:rsidRPr="0010608B" w:rsidTr="009C332E">
        <w:tc>
          <w:tcPr>
            <w:tcW w:w="707" w:type="dxa"/>
          </w:tcPr>
          <w:p w:rsidR="00615B84" w:rsidRPr="0010608B" w:rsidRDefault="00615B84" w:rsidP="00615B84"/>
        </w:tc>
        <w:tc>
          <w:tcPr>
            <w:tcW w:w="1005" w:type="dxa"/>
          </w:tcPr>
          <w:p w:rsidR="00615B84" w:rsidRPr="0010608B" w:rsidRDefault="00F869FA" w:rsidP="00615B84">
            <w:r>
              <w:t>1</w:t>
            </w:r>
          </w:p>
        </w:tc>
        <w:tc>
          <w:tcPr>
            <w:tcW w:w="1213" w:type="dxa"/>
          </w:tcPr>
          <w:p w:rsidR="00615B84" w:rsidRPr="0010608B" w:rsidRDefault="00615B84" w:rsidP="00615B84">
            <w:r w:rsidRPr="0010608B">
              <w:t>Mandatory training- SG adults</w:t>
            </w:r>
          </w:p>
        </w:tc>
        <w:tc>
          <w:tcPr>
            <w:tcW w:w="2320" w:type="dxa"/>
          </w:tcPr>
          <w:p w:rsidR="00615B84" w:rsidRPr="0010608B" w:rsidRDefault="00615B84" w:rsidP="00615B84">
            <w:r w:rsidRPr="0010608B">
              <w:t>Mental capacity act/ safeguarding adults</w:t>
            </w:r>
          </w:p>
        </w:tc>
        <w:tc>
          <w:tcPr>
            <w:tcW w:w="5245" w:type="dxa"/>
          </w:tcPr>
          <w:p w:rsidR="00615B84" w:rsidRPr="0010608B" w:rsidRDefault="00615B84" w:rsidP="00615B84">
            <w:r w:rsidRPr="0010608B">
              <w:t>Legal view of act &amp; where GP input limitations are. Assessing capacity &amp; using correct language for records even if not on form – can understand, retain &amp; process information given. Best interest decisions &amp; recording them correctly</w:t>
            </w:r>
          </w:p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F869FA">
            <w:r>
              <w:t>1</w:t>
            </w:r>
          </w:p>
        </w:tc>
        <w:tc>
          <w:tcPr>
            <w:tcW w:w="1213" w:type="dxa"/>
          </w:tcPr>
          <w:p w:rsidR="000C2DC7" w:rsidRPr="0010608B" w:rsidRDefault="00615B84">
            <w:r w:rsidRPr="0010608B">
              <w:t>CCG protected learning event</w:t>
            </w:r>
          </w:p>
        </w:tc>
        <w:tc>
          <w:tcPr>
            <w:tcW w:w="2320" w:type="dxa"/>
          </w:tcPr>
          <w:p w:rsidR="000C2DC7" w:rsidRPr="0010608B" w:rsidRDefault="00615B84">
            <w:r w:rsidRPr="0010608B">
              <w:t>Prostate cancer</w:t>
            </w:r>
          </w:p>
        </w:tc>
        <w:tc>
          <w:tcPr>
            <w:tcW w:w="5245" w:type="dxa"/>
          </w:tcPr>
          <w:p w:rsidR="00615B84" w:rsidRPr="0010608B" w:rsidRDefault="00615B84" w:rsidP="00615B84">
            <w:r w:rsidRPr="0010608B">
              <w:t xml:space="preserve">Prostate ca only needs </w:t>
            </w:r>
            <w:proofErr w:type="spellStart"/>
            <w:r w:rsidRPr="0010608B">
              <w:t>diag</w:t>
            </w:r>
            <w:proofErr w:type="spellEnd"/>
            <w:r w:rsidRPr="0010608B">
              <w:t xml:space="preserve"> in over 80’s if likely to need palliation. Ix requires good performance status &amp; 10yr life expectancy</w:t>
            </w:r>
          </w:p>
          <w:p w:rsidR="00615B84" w:rsidRPr="0010608B" w:rsidRDefault="00615B84" w:rsidP="00615B84">
            <w:proofErr w:type="spellStart"/>
            <w:r w:rsidRPr="0010608B">
              <w:t>Rerefer</w:t>
            </w:r>
            <w:proofErr w:type="spellEnd"/>
            <w:r w:rsidRPr="0010608B">
              <w:t xml:space="preserve"> if PSA &gt;0.2 twice after radical surgery, if 2ng.ml above nadir after </w:t>
            </w:r>
            <w:proofErr w:type="spellStart"/>
            <w:r w:rsidRPr="0010608B">
              <w:t>radiothx</w:t>
            </w:r>
            <w:proofErr w:type="spellEnd"/>
            <w:r w:rsidRPr="0010608B">
              <w:t xml:space="preserve"> or if sig urological s/e</w:t>
            </w:r>
          </w:p>
          <w:p w:rsidR="00615B84" w:rsidRPr="0010608B" w:rsidRDefault="00615B84" w:rsidP="00615B84">
            <w:r w:rsidRPr="0010608B">
              <w:t xml:space="preserve">Signs of disease progression = 3 rises PSA, PSA doubling time&lt;6/12, PSA &gt;20 or </w:t>
            </w:r>
            <w:proofErr w:type="spellStart"/>
            <w:r w:rsidRPr="0010608B">
              <w:t>sx</w:t>
            </w:r>
            <w:proofErr w:type="spellEnd"/>
            <w:r w:rsidRPr="0010608B">
              <w:t xml:space="preserve"> advanced dis</w:t>
            </w:r>
          </w:p>
          <w:p w:rsidR="000C2DC7" w:rsidRPr="0010608B" w:rsidRDefault="000C2DC7"/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F869FA">
            <w:r>
              <w:t>1</w:t>
            </w:r>
          </w:p>
        </w:tc>
        <w:tc>
          <w:tcPr>
            <w:tcW w:w="1213" w:type="dxa"/>
          </w:tcPr>
          <w:p w:rsidR="000C2DC7" w:rsidRPr="0010608B" w:rsidRDefault="00615B84">
            <w:r w:rsidRPr="0010608B">
              <w:t>Practice education</w:t>
            </w:r>
          </w:p>
        </w:tc>
        <w:tc>
          <w:tcPr>
            <w:tcW w:w="2320" w:type="dxa"/>
          </w:tcPr>
          <w:p w:rsidR="000C2DC7" w:rsidRPr="0010608B" w:rsidRDefault="00615B84">
            <w:r w:rsidRPr="0010608B">
              <w:t>NICE guidance- fever in children</w:t>
            </w:r>
          </w:p>
        </w:tc>
        <w:tc>
          <w:tcPr>
            <w:tcW w:w="5245" w:type="dxa"/>
          </w:tcPr>
          <w:p w:rsidR="00615B84" w:rsidRPr="0010608B" w:rsidRDefault="00615B84" w:rsidP="00615B84">
            <w:pPr>
              <w:rPr>
                <w:rFonts w:cs="Arial"/>
              </w:rPr>
            </w:pPr>
            <w:proofErr w:type="gramStart"/>
            <w:r w:rsidRPr="0010608B">
              <w:rPr>
                <w:rFonts w:cs="Arial"/>
                <w:b/>
              </w:rPr>
              <w:t>need</w:t>
            </w:r>
            <w:proofErr w:type="gramEnd"/>
            <w:r w:rsidRPr="0010608B">
              <w:rPr>
                <w:rFonts w:cs="Arial"/>
                <w:b/>
              </w:rPr>
              <w:t xml:space="preserve"> to improve documentation: </w:t>
            </w:r>
            <w:r w:rsidRPr="0010608B">
              <w:rPr>
                <w:rFonts w:cs="Arial"/>
              </w:rPr>
              <w:t>heart rate, respiratory rate and temperature.</w:t>
            </w:r>
          </w:p>
          <w:p w:rsidR="00615B84" w:rsidRPr="0010608B" w:rsidRDefault="00615B84" w:rsidP="00615B84">
            <w:pPr>
              <w:rPr>
                <w:rFonts w:cs="Arial"/>
              </w:rPr>
            </w:pPr>
          </w:p>
          <w:p w:rsidR="00615B84" w:rsidRPr="0010608B" w:rsidRDefault="00615B84" w:rsidP="00615B84">
            <w:pPr>
              <w:rPr>
                <w:rFonts w:cs="Arial"/>
              </w:rPr>
            </w:pPr>
            <w:proofErr w:type="gramStart"/>
            <w:r w:rsidRPr="0010608B">
              <w:rPr>
                <w:rFonts w:cs="Arial"/>
                <w:b/>
              </w:rPr>
              <w:t>improve</w:t>
            </w:r>
            <w:proofErr w:type="gramEnd"/>
            <w:r w:rsidRPr="0010608B">
              <w:rPr>
                <w:rFonts w:cs="Arial"/>
                <w:b/>
              </w:rPr>
              <w:t xml:space="preserve"> advice given to parents.</w:t>
            </w:r>
            <w:r w:rsidRPr="0010608B">
              <w:rPr>
                <w:rFonts w:cs="Arial"/>
              </w:rPr>
              <w:t xml:space="preserve"> </w:t>
            </w:r>
            <w:proofErr w:type="gramStart"/>
            <w:r w:rsidRPr="0010608B">
              <w:rPr>
                <w:rFonts w:cs="Arial"/>
              </w:rPr>
              <w:t>effect</w:t>
            </w:r>
            <w:proofErr w:type="gramEnd"/>
            <w:r w:rsidRPr="0010608B">
              <w:rPr>
                <w:rFonts w:cs="Arial"/>
              </w:rPr>
              <w:t xml:space="preserve"> of ibuprofen lasts for 8 hours. </w:t>
            </w:r>
            <w:proofErr w:type="gramStart"/>
            <w:r w:rsidRPr="0010608B">
              <w:rPr>
                <w:rFonts w:cs="Arial"/>
              </w:rPr>
              <w:t>all</w:t>
            </w:r>
            <w:proofErr w:type="gramEnd"/>
            <w:r w:rsidRPr="0010608B">
              <w:rPr>
                <w:rFonts w:cs="Arial"/>
              </w:rPr>
              <w:t xml:space="preserve"> GPs to have tympanic membrane thermometers.</w:t>
            </w:r>
          </w:p>
          <w:p w:rsidR="00615B84" w:rsidRPr="0010608B" w:rsidRDefault="00615B84" w:rsidP="00615B84">
            <w:pPr>
              <w:rPr>
                <w:rFonts w:cs="Arial"/>
              </w:rPr>
            </w:pPr>
            <w:proofErr w:type="gramStart"/>
            <w:r w:rsidRPr="0010608B">
              <w:rPr>
                <w:rFonts w:cs="Arial"/>
              </w:rPr>
              <w:t>practice</w:t>
            </w:r>
            <w:proofErr w:type="gramEnd"/>
            <w:r w:rsidRPr="0010608B">
              <w:rPr>
                <w:rFonts w:cs="Arial"/>
              </w:rPr>
              <w:t xml:space="preserve"> have ordered pulse oximeters and axillary thermometers for all doctors. </w:t>
            </w:r>
          </w:p>
          <w:p w:rsidR="000C2DC7" w:rsidRPr="0010608B" w:rsidRDefault="000C2DC7"/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F869FA">
            <w:r>
              <w:t>1</w:t>
            </w:r>
          </w:p>
        </w:tc>
        <w:tc>
          <w:tcPr>
            <w:tcW w:w="1213" w:type="dxa"/>
          </w:tcPr>
          <w:p w:rsidR="000C2DC7" w:rsidRPr="0010608B" w:rsidRDefault="00A17AD9">
            <w:r w:rsidRPr="0010608B">
              <w:t>RCGP e module</w:t>
            </w:r>
          </w:p>
        </w:tc>
        <w:tc>
          <w:tcPr>
            <w:tcW w:w="2320" w:type="dxa"/>
          </w:tcPr>
          <w:p w:rsidR="000C2DC7" w:rsidRPr="0010608B" w:rsidRDefault="00A17AD9">
            <w:r w:rsidRPr="0010608B">
              <w:t>Bleeding problems in contraception</w:t>
            </w:r>
          </w:p>
        </w:tc>
        <w:tc>
          <w:tcPr>
            <w:tcW w:w="5245" w:type="dxa"/>
          </w:tcPr>
          <w:p w:rsidR="001738B9" w:rsidRPr="0010608B" w:rsidRDefault="001738B9" w:rsidP="001738B9">
            <w:pPr>
              <w:rPr>
                <w:rFonts w:cs="Arial"/>
              </w:rPr>
            </w:pPr>
            <w:r w:rsidRPr="0010608B">
              <w:rPr>
                <w:rFonts w:cs="Arial"/>
              </w:rPr>
              <w:t>For unscheduled bleeding with the POP, implant or intrauterine system, a COC may be used for up to 3 months if there are no medical contraindications (cyclical manner or continuously without a pill free week).</w:t>
            </w:r>
          </w:p>
          <w:p w:rsidR="001738B9" w:rsidRPr="0010608B" w:rsidRDefault="001738B9" w:rsidP="001738B9">
            <w:pPr>
              <w:rPr>
                <w:rFonts w:cs="Arial"/>
              </w:rPr>
            </w:pPr>
            <w:r w:rsidRPr="0010608B">
              <w:rPr>
                <w:rFonts w:cs="Arial"/>
                <w:b/>
              </w:rPr>
              <w:t>counselling patients</w:t>
            </w:r>
            <w:r w:rsidRPr="0010608B">
              <w:rPr>
                <w:rFonts w:cs="Arial"/>
              </w:rPr>
              <w:t xml:space="preserve"> on initial and long-term bleeding patterns is important</w:t>
            </w:r>
          </w:p>
          <w:p w:rsidR="001738B9" w:rsidRPr="0010608B" w:rsidRDefault="001738B9" w:rsidP="001738B9">
            <w:pPr>
              <w:rPr>
                <w:rFonts w:cs="Arial"/>
              </w:rPr>
            </w:pPr>
            <w:proofErr w:type="gramStart"/>
            <w:r w:rsidRPr="0010608B">
              <w:rPr>
                <w:rFonts w:cs="Arial"/>
              </w:rPr>
              <w:t>a</w:t>
            </w:r>
            <w:proofErr w:type="gramEnd"/>
            <w:r w:rsidRPr="0010608B">
              <w:rPr>
                <w:rFonts w:cs="Arial"/>
              </w:rPr>
              <w:t xml:space="preserve"> patient who is bleeding after several months of using a certain </w:t>
            </w:r>
            <w:proofErr w:type="spellStart"/>
            <w:r w:rsidRPr="0010608B">
              <w:rPr>
                <w:rFonts w:cs="Arial"/>
              </w:rPr>
              <w:t>conctraceptive</w:t>
            </w:r>
            <w:proofErr w:type="spellEnd"/>
            <w:r w:rsidRPr="0010608B">
              <w:rPr>
                <w:rFonts w:cs="Arial"/>
              </w:rPr>
              <w:t xml:space="preserve"> method needs a speculum examination bimanual examination is useful only if there is deep pelvic pain/dyspareunia or heavy bleeding. </w:t>
            </w:r>
          </w:p>
          <w:p w:rsidR="000C2DC7" w:rsidRPr="0010608B" w:rsidRDefault="000C2DC7" w:rsidP="001738B9"/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F869FA">
            <w:r>
              <w:t>1</w:t>
            </w:r>
          </w:p>
        </w:tc>
        <w:tc>
          <w:tcPr>
            <w:tcW w:w="1213" w:type="dxa"/>
          </w:tcPr>
          <w:p w:rsidR="000C2DC7" w:rsidRPr="0010608B" w:rsidRDefault="0010608B" w:rsidP="0010608B">
            <w:r w:rsidRPr="0010608B">
              <w:t xml:space="preserve">e learning </w:t>
            </w:r>
          </w:p>
        </w:tc>
        <w:tc>
          <w:tcPr>
            <w:tcW w:w="2320" w:type="dxa"/>
          </w:tcPr>
          <w:p w:rsidR="000C2DC7" w:rsidRPr="0010608B" w:rsidRDefault="0010608B" w:rsidP="0010608B">
            <w:r w:rsidRPr="0010608B">
              <w:t>Nutritional supplements -required for prescribing incentive scheme</w:t>
            </w:r>
          </w:p>
        </w:tc>
        <w:tc>
          <w:tcPr>
            <w:tcW w:w="5245" w:type="dxa"/>
          </w:tcPr>
          <w:p w:rsidR="0010608B" w:rsidRPr="0010608B" w:rsidRDefault="0010608B" w:rsidP="001060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0608B">
              <w:rPr>
                <w:rFonts w:cs="Arial"/>
              </w:rPr>
              <w:t xml:space="preserve">Who is at risk (falling </w:t>
            </w:r>
            <w:proofErr w:type="spellStart"/>
            <w:r w:rsidRPr="0010608B">
              <w:rPr>
                <w:rFonts w:cs="Arial"/>
              </w:rPr>
              <w:t>wt</w:t>
            </w:r>
            <w:proofErr w:type="spellEnd"/>
            <w:r w:rsidRPr="0010608B">
              <w:rPr>
                <w:rFonts w:cs="Arial"/>
              </w:rPr>
              <w:t xml:space="preserve">, low BMI, poor intake </w:t>
            </w:r>
            <w:proofErr w:type="spellStart"/>
            <w:r w:rsidRPr="0010608B">
              <w:rPr>
                <w:rFonts w:cs="Arial"/>
              </w:rPr>
              <w:t>etc</w:t>
            </w:r>
            <w:proofErr w:type="spellEnd"/>
            <w:r w:rsidRPr="0010608B">
              <w:rPr>
                <w:rFonts w:cs="Arial"/>
              </w:rPr>
              <w:t>)</w:t>
            </w:r>
          </w:p>
          <w:p w:rsidR="0010608B" w:rsidRPr="0010608B" w:rsidRDefault="0010608B" w:rsidP="001060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0608B">
              <w:rPr>
                <w:rFonts w:cs="Arial"/>
              </w:rPr>
              <w:t>flow chart for interventions according to score</w:t>
            </w:r>
          </w:p>
          <w:p w:rsidR="0010608B" w:rsidRPr="0010608B" w:rsidRDefault="0010608B" w:rsidP="001060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0608B">
              <w:rPr>
                <w:rFonts w:cs="Arial"/>
              </w:rPr>
              <w:t xml:space="preserve">How to </w:t>
            </w:r>
            <w:proofErr w:type="spellStart"/>
            <w:r w:rsidRPr="0010608B">
              <w:rPr>
                <w:rFonts w:cs="Arial"/>
              </w:rPr>
              <w:t>asssess</w:t>
            </w:r>
            <w:proofErr w:type="spellEnd"/>
            <w:r w:rsidRPr="0010608B">
              <w:rPr>
                <w:rFonts w:cs="Arial"/>
              </w:rPr>
              <w:t xml:space="preserve"> BMI with ulna length and arm width</w:t>
            </w:r>
          </w:p>
          <w:p w:rsidR="0010608B" w:rsidRPr="0010608B" w:rsidRDefault="0010608B" w:rsidP="001060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0608B">
              <w:rPr>
                <w:rFonts w:cs="Arial"/>
              </w:rPr>
              <w:t>“food first” principals (substituting high energy foods)</w:t>
            </w:r>
          </w:p>
          <w:p w:rsidR="0010608B" w:rsidRPr="0010608B" w:rsidRDefault="0010608B" w:rsidP="001060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0608B">
              <w:rPr>
                <w:rFonts w:cs="Arial"/>
              </w:rPr>
              <w:t>cost effective prescribing</w:t>
            </w:r>
          </w:p>
          <w:p w:rsidR="0010608B" w:rsidRPr="0010608B" w:rsidRDefault="0010608B" w:rsidP="001060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0608B">
              <w:rPr>
                <w:rFonts w:cs="Arial"/>
              </w:rPr>
              <w:t>when to refer</w:t>
            </w:r>
          </w:p>
          <w:p w:rsidR="000C2DC7" w:rsidRPr="0010608B" w:rsidRDefault="0010608B" w:rsidP="0010608B">
            <w:r w:rsidRPr="0010608B">
              <w:rPr>
                <w:rFonts w:cs="Arial"/>
              </w:rPr>
              <w:t xml:space="preserve">how to supplement drinks to increase energy </w:t>
            </w:r>
            <w:proofErr w:type="spellStart"/>
            <w:r w:rsidRPr="0010608B">
              <w:rPr>
                <w:rFonts w:cs="Arial"/>
              </w:rPr>
              <w:t>etc</w:t>
            </w:r>
            <w:proofErr w:type="spellEnd"/>
          </w:p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10608B">
            <w:r>
              <w:t>6 hours</w:t>
            </w:r>
          </w:p>
        </w:tc>
        <w:tc>
          <w:tcPr>
            <w:tcW w:w="1213" w:type="dxa"/>
          </w:tcPr>
          <w:p w:rsidR="000C2DC7" w:rsidRPr="0010608B" w:rsidRDefault="0010608B">
            <w:r>
              <w:t>Course</w:t>
            </w:r>
          </w:p>
        </w:tc>
        <w:tc>
          <w:tcPr>
            <w:tcW w:w="2320" w:type="dxa"/>
          </w:tcPr>
          <w:p w:rsidR="000C2DC7" w:rsidRPr="0010608B" w:rsidRDefault="0010608B">
            <w:r>
              <w:t>GP update course</w:t>
            </w:r>
          </w:p>
        </w:tc>
        <w:tc>
          <w:tcPr>
            <w:tcW w:w="5245" w:type="dxa"/>
          </w:tcPr>
          <w:p w:rsidR="009C332E" w:rsidRDefault="0010608B">
            <w:r>
              <w:t xml:space="preserve">1.Refer Diabetics with BMI&gt;30 for bariatric surgery as highly cost effective and cures diabetes in 50% 2.Autonomic neuropathy- important to ask about as </w:t>
            </w:r>
            <w:r>
              <w:lastRenderedPageBreak/>
              <w:t>may result in lack of hypo awareness and hypos increase cardiovascular risk. So ask about: incontinence, diarrhoea, belching.</w:t>
            </w:r>
          </w:p>
          <w:p w:rsidR="009C332E" w:rsidRDefault="0010608B" w:rsidP="009C332E">
            <w:r>
              <w:t xml:space="preserve"> </w:t>
            </w:r>
            <w:proofErr w:type="gramStart"/>
            <w:r>
              <w:t>3.Coding</w:t>
            </w:r>
            <w:proofErr w:type="gramEnd"/>
            <w:r>
              <w:t xml:space="preserve"> for Diabetes resolved: use in remission not resolved as this will ensure they continue to be recalled for retinal screening. </w:t>
            </w:r>
          </w:p>
          <w:p w:rsidR="009C332E" w:rsidRDefault="0010608B" w:rsidP="009C332E">
            <w:r>
              <w:t xml:space="preserve">4. Diabetics on </w:t>
            </w:r>
            <w:proofErr w:type="spellStart"/>
            <w:r>
              <w:t>glifzins</w:t>
            </w:r>
            <w:proofErr w:type="spellEnd"/>
            <w:r>
              <w:t xml:space="preserve"> can develop DKA despite having normal blood sugar. So test for ketones if having nausea/</w:t>
            </w:r>
            <w:proofErr w:type="spellStart"/>
            <w:r>
              <w:t>abdo</w:t>
            </w:r>
            <w:proofErr w:type="spellEnd"/>
            <w:r>
              <w:t xml:space="preserve"> pain/confusion/ thirst/fatigues/sleepiness 5.A raised WCC can be a marker for bladder cancer so if microscopic haematuria should do FBC to check WCC. </w:t>
            </w:r>
            <w:proofErr w:type="gramStart"/>
            <w:r w:rsidR="009C332E">
              <w:t>6</w:t>
            </w:r>
            <w:r>
              <w:t>.Report</w:t>
            </w:r>
            <w:proofErr w:type="gramEnd"/>
            <w:r>
              <w:t xml:space="preserve"> FGM in under 18s to police within 24 hours by ringing 111. (</w:t>
            </w:r>
            <w:proofErr w:type="gramStart"/>
            <w:r>
              <w:t>serious</w:t>
            </w:r>
            <w:proofErr w:type="gramEnd"/>
            <w:r>
              <w:t xml:space="preserve"> crimes act). Tell patients about obligation to code FGM and the reporting to HSC.</w:t>
            </w:r>
          </w:p>
          <w:p w:rsidR="009C332E" w:rsidRDefault="009C332E" w:rsidP="009C332E">
            <w:proofErr w:type="gramStart"/>
            <w:r>
              <w:t>7</w:t>
            </w:r>
            <w:r w:rsidR="0010608B">
              <w:t>.Calcium</w:t>
            </w:r>
            <w:proofErr w:type="gramEnd"/>
            <w:r w:rsidR="0010608B">
              <w:t>- increases cardiovascular risk. Only justified if intake poor. Use calcium calculator.</w:t>
            </w:r>
          </w:p>
          <w:p w:rsidR="009C332E" w:rsidRDefault="009C332E" w:rsidP="009C332E">
            <w:r>
              <w:t>8</w:t>
            </w:r>
            <w:r w:rsidR="0010608B">
              <w:t>.Benefits of bisphosphonates decrease after 4 years- do search for all patients who have been on them for more than 5 years</w:t>
            </w:r>
          </w:p>
          <w:p w:rsidR="000C2DC7" w:rsidRDefault="009C332E" w:rsidP="009C332E">
            <w:proofErr w:type="gramStart"/>
            <w:r>
              <w:t>9</w:t>
            </w:r>
            <w:r w:rsidR="0010608B">
              <w:t>.Asthma</w:t>
            </w:r>
            <w:proofErr w:type="gramEnd"/>
            <w:r w:rsidR="0010608B">
              <w:t xml:space="preserve">- download PAAPs from asthma UK. STOP ALL LABAS ON PATIENTS TAKING LABA WITHOUT ICS. </w:t>
            </w:r>
            <w:r>
              <w:t>10</w:t>
            </w:r>
            <w:r w:rsidR="0010608B">
              <w:t xml:space="preserve">.Motivate2 move website </w:t>
            </w:r>
          </w:p>
          <w:p w:rsidR="009C332E" w:rsidRPr="0010608B" w:rsidRDefault="009C332E" w:rsidP="009C332E"/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952CAE">
            <w:r>
              <w:t>2 hours</w:t>
            </w:r>
          </w:p>
        </w:tc>
        <w:tc>
          <w:tcPr>
            <w:tcW w:w="1213" w:type="dxa"/>
          </w:tcPr>
          <w:p w:rsidR="000C2DC7" w:rsidRPr="0010608B" w:rsidRDefault="0017437E">
            <w:r>
              <w:t>Learning group</w:t>
            </w:r>
          </w:p>
        </w:tc>
        <w:tc>
          <w:tcPr>
            <w:tcW w:w="2320" w:type="dxa"/>
          </w:tcPr>
          <w:p w:rsidR="000C2DC7" w:rsidRPr="0010608B" w:rsidRDefault="00F869FA">
            <w:r>
              <w:t>Learning group</w:t>
            </w:r>
          </w:p>
        </w:tc>
        <w:tc>
          <w:tcPr>
            <w:tcW w:w="5245" w:type="dxa"/>
          </w:tcPr>
          <w:p w:rsidR="00952CAE" w:rsidRDefault="00952CAE">
            <w:r>
              <w:t>We discussed a case about a PE and reviewed use of the DVT risk tool- Wells criteria and how different services handle these patients as we work in different areas.</w:t>
            </w:r>
          </w:p>
          <w:p w:rsidR="00952CAE" w:rsidRDefault="00952CAE">
            <w:r>
              <w:t>Compared practice systems for managing safeguarding reports.</w:t>
            </w:r>
          </w:p>
          <w:p w:rsidR="000C2DC7" w:rsidRPr="0010608B" w:rsidRDefault="00952CAE">
            <w:r>
              <w:t xml:space="preserve">Discussed implications of new baby </w:t>
            </w:r>
            <w:proofErr w:type="spellStart"/>
            <w:r>
              <w:t>imms</w:t>
            </w:r>
            <w:proofErr w:type="spellEnd"/>
            <w:r>
              <w:t xml:space="preserve"> and administration of </w:t>
            </w:r>
            <w:proofErr w:type="spellStart"/>
            <w:r>
              <w:t>paraceramol</w:t>
            </w:r>
            <w:proofErr w:type="spellEnd"/>
            <w:r>
              <w:t xml:space="preserve"> pre-</w:t>
            </w:r>
            <w:proofErr w:type="spellStart"/>
            <w:r>
              <w:t>imms</w:t>
            </w:r>
            <w:proofErr w:type="spellEnd"/>
            <w:r>
              <w:t xml:space="preserve">. </w:t>
            </w:r>
          </w:p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952CAE">
            <w:r>
              <w:t>30min</w:t>
            </w:r>
          </w:p>
        </w:tc>
        <w:tc>
          <w:tcPr>
            <w:tcW w:w="1213" w:type="dxa"/>
          </w:tcPr>
          <w:p w:rsidR="000C2DC7" w:rsidRPr="0010608B" w:rsidRDefault="0017437E">
            <w:r>
              <w:t>Case review</w:t>
            </w:r>
          </w:p>
        </w:tc>
        <w:tc>
          <w:tcPr>
            <w:tcW w:w="2320" w:type="dxa"/>
          </w:tcPr>
          <w:p w:rsidR="000C2DC7" w:rsidRPr="0010608B" w:rsidRDefault="0017437E">
            <w:r>
              <w:t>Migraine in pregnancy</w:t>
            </w:r>
          </w:p>
        </w:tc>
        <w:tc>
          <w:tcPr>
            <w:tcW w:w="5245" w:type="dxa"/>
          </w:tcPr>
          <w:p w:rsidR="000C2DC7" w:rsidRPr="0010608B" w:rsidRDefault="00952CAE">
            <w:r>
              <w:t xml:space="preserve">Management of migraine in pregnancy, use of nasal </w:t>
            </w:r>
            <w:proofErr w:type="spellStart"/>
            <w:r>
              <w:t>triptans</w:t>
            </w:r>
            <w:proofErr w:type="spellEnd"/>
            <w:r>
              <w:t>. See attached.</w:t>
            </w:r>
          </w:p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952CAE">
            <w:r>
              <w:t>2 hours</w:t>
            </w:r>
          </w:p>
        </w:tc>
        <w:tc>
          <w:tcPr>
            <w:tcW w:w="1213" w:type="dxa"/>
          </w:tcPr>
          <w:p w:rsidR="000C2DC7" w:rsidRPr="0010608B" w:rsidRDefault="0017437E">
            <w:r>
              <w:t>QIA</w:t>
            </w:r>
          </w:p>
        </w:tc>
        <w:tc>
          <w:tcPr>
            <w:tcW w:w="2320" w:type="dxa"/>
          </w:tcPr>
          <w:p w:rsidR="000C2DC7" w:rsidRPr="0010608B" w:rsidRDefault="00F869FA">
            <w:r>
              <w:t>QIA review of 2 week wait referrals</w:t>
            </w:r>
          </w:p>
        </w:tc>
        <w:tc>
          <w:tcPr>
            <w:tcW w:w="5245" w:type="dxa"/>
          </w:tcPr>
          <w:p w:rsidR="000C2DC7" w:rsidRPr="0010608B" w:rsidRDefault="00952CAE" w:rsidP="00952CAE">
            <w:r>
              <w:t>Reviewed 2 week waits in the light of revised cancer guidelines. Full learning points/reflections in attached QIA.</w:t>
            </w:r>
          </w:p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952CAE">
            <w:r>
              <w:t>1hr</w:t>
            </w:r>
          </w:p>
        </w:tc>
        <w:tc>
          <w:tcPr>
            <w:tcW w:w="1213" w:type="dxa"/>
          </w:tcPr>
          <w:p w:rsidR="000C2DC7" w:rsidRPr="0010608B" w:rsidRDefault="0017437E">
            <w:r>
              <w:t>SEA meeting</w:t>
            </w:r>
          </w:p>
        </w:tc>
        <w:tc>
          <w:tcPr>
            <w:tcW w:w="2320" w:type="dxa"/>
          </w:tcPr>
          <w:p w:rsidR="000C2DC7" w:rsidRPr="0010608B" w:rsidRDefault="00F869FA">
            <w:r>
              <w:t>SEA meeting</w:t>
            </w:r>
          </w:p>
        </w:tc>
        <w:tc>
          <w:tcPr>
            <w:tcW w:w="5245" w:type="dxa"/>
          </w:tcPr>
          <w:p w:rsidR="000C2DC7" w:rsidRPr="0010608B" w:rsidRDefault="00952CAE">
            <w:r>
              <w:t xml:space="preserve">Failure to update </w:t>
            </w:r>
            <w:proofErr w:type="spellStart"/>
            <w:r>
              <w:t>dosette</w:t>
            </w:r>
            <w:proofErr w:type="spellEnd"/>
            <w:r>
              <w:t xml:space="preserve"> boxes post discharge, safety issues, who updates meds screen, role of pharmacist, and clarifying practice protocol.</w:t>
            </w:r>
          </w:p>
        </w:tc>
      </w:tr>
      <w:tr w:rsidR="000C2DC7" w:rsidRPr="0010608B" w:rsidTr="009C332E">
        <w:tc>
          <w:tcPr>
            <w:tcW w:w="707" w:type="dxa"/>
          </w:tcPr>
          <w:p w:rsidR="000C2DC7" w:rsidRPr="0010608B" w:rsidRDefault="000C2DC7"/>
        </w:tc>
        <w:tc>
          <w:tcPr>
            <w:tcW w:w="1005" w:type="dxa"/>
          </w:tcPr>
          <w:p w:rsidR="000C2DC7" w:rsidRPr="0010608B" w:rsidRDefault="00952CAE">
            <w:r>
              <w:t>1hour</w:t>
            </w:r>
          </w:p>
        </w:tc>
        <w:tc>
          <w:tcPr>
            <w:tcW w:w="1213" w:type="dxa"/>
          </w:tcPr>
          <w:p w:rsidR="000C2DC7" w:rsidRPr="0010608B" w:rsidRDefault="0017437E">
            <w:r>
              <w:t>Lecture</w:t>
            </w:r>
            <w:bookmarkStart w:id="0" w:name="_GoBack"/>
            <w:bookmarkEnd w:id="0"/>
          </w:p>
        </w:tc>
        <w:tc>
          <w:tcPr>
            <w:tcW w:w="2320" w:type="dxa"/>
          </w:tcPr>
          <w:p w:rsidR="000C2DC7" w:rsidRPr="0010608B" w:rsidRDefault="00FD7144">
            <w:r>
              <w:t>HRT update- Diana Mansour</w:t>
            </w:r>
          </w:p>
        </w:tc>
        <w:tc>
          <w:tcPr>
            <w:tcW w:w="5245" w:type="dxa"/>
          </w:tcPr>
          <w:p w:rsidR="00FD7144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t xml:space="preserve">Progesterone only options available </w:t>
            </w:r>
          </w:p>
          <w:p w:rsidR="00FD7144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t xml:space="preserve">Keep </w:t>
            </w:r>
            <w:proofErr w:type="spellStart"/>
            <w:r>
              <w:t>Mirena</w:t>
            </w:r>
            <w:proofErr w:type="spellEnd"/>
            <w:r>
              <w:t xml:space="preserve"> in till at least 55 for contraception Oestrogen only </w:t>
            </w:r>
            <w:proofErr w:type="spellStart"/>
            <w:r>
              <w:t>hrt</w:t>
            </w:r>
            <w:proofErr w:type="spellEnd"/>
            <w:r>
              <w:t xml:space="preserve"> not </w:t>
            </w:r>
            <w:proofErr w:type="spellStart"/>
            <w:r>
              <w:t>assoc</w:t>
            </w:r>
            <w:proofErr w:type="spellEnd"/>
            <w:r>
              <w:t xml:space="preserve"> with breast cancer risk </w:t>
            </w:r>
          </w:p>
          <w:p w:rsidR="00FD7144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t xml:space="preserve">If breast cancer risk can use topical oestrogen, clonidine or </w:t>
            </w:r>
            <w:proofErr w:type="spellStart"/>
            <w:r>
              <w:t>ssri</w:t>
            </w:r>
            <w:proofErr w:type="spellEnd"/>
            <w:r>
              <w:t xml:space="preserve"> </w:t>
            </w:r>
          </w:p>
          <w:p w:rsidR="00FD7144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t xml:space="preserve">If progesterone intolerant can try: </w:t>
            </w:r>
            <w:proofErr w:type="spellStart"/>
            <w:r>
              <w:t>femoston</w:t>
            </w:r>
            <w:proofErr w:type="spellEnd"/>
            <w:r>
              <w:t xml:space="preserve">, </w:t>
            </w:r>
            <w:proofErr w:type="spellStart"/>
            <w:r>
              <w:t>micronised</w:t>
            </w:r>
            <w:proofErr w:type="spellEnd"/>
            <w:r>
              <w:t xml:space="preserve"> progesterone 200mg 14d, </w:t>
            </w:r>
            <w:proofErr w:type="spellStart"/>
            <w:r>
              <w:t>cyclogest</w:t>
            </w:r>
            <w:proofErr w:type="spellEnd"/>
            <w:r>
              <w:t xml:space="preserve"> vaginally for 14 days, or </w:t>
            </w:r>
            <w:proofErr w:type="spellStart"/>
            <w:r>
              <w:t>Mirena</w:t>
            </w:r>
            <w:proofErr w:type="spellEnd"/>
            <w:r>
              <w:t xml:space="preserve"> IUS. </w:t>
            </w:r>
          </w:p>
          <w:p w:rsidR="00FD7144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t xml:space="preserve">If poor CVD risk can have </w:t>
            </w:r>
            <w:proofErr w:type="spellStart"/>
            <w:r>
              <w:t>ssri</w:t>
            </w:r>
            <w:proofErr w:type="spellEnd"/>
            <w:r>
              <w:t>/ venlafaxine/</w:t>
            </w:r>
            <w:proofErr w:type="spellStart"/>
            <w:r>
              <w:t>gapapentin</w:t>
            </w:r>
            <w:proofErr w:type="spellEnd"/>
            <w:r>
              <w:t xml:space="preserve"> or 10mg </w:t>
            </w:r>
            <w:proofErr w:type="spellStart"/>
            <w:r>
              <w:t>medroxyprogestreone</w:t>
            </w:r>
            <w:proofErr w:type="spellEnd"/>
            <w:r>
              <w:t xml:space="preserve">- as effective as Combined </w:t>
            </w:r>
            <w:proofErr w:type="spellStart"/>
            <w:r>
              <w:t>hrt</w:t>
            </w:r>
            <w:proofErr w:type="spellEnd"/>
            <w:r>
              <w:t xml:space="preserve"> </w:t>
            </w:r>
          </w:p>
          <w:p w:rsidR="00FD7144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Controlled hypertension- can still have </w:t>
            </w:r>
            <w:proofErr w:type="spellStart"/>
            <w:r>
              <w:t>hrt</w:t>
            </w:r>
            <w:proofErr w:type="spellEnd"/>
            <w:r>
              <w:t xml:space="preserve"> </w:t>
            </w:r>
          </w:p>
          <w:p w:rsidR="00FD7144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t xml:space="preserve">Topical oestrogens can be used long term </w:t>
            </w:r>
          </w:p>
          <w:p w:rsidR="00FD7144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t xml:space="preserve">VTE risk- use </w:t>
            </w:r>
            <w:proofErr w:type="spellStart"/>
            <w:r>
              <w:t>trandermal</w:t>
            </w:r>
            <w:proofErr w:type="spellEnd"/>
            <w:r>
              <w:t xml:space="preserve"> </w:t>
            </w:r>
            <w:proofErr w:type="spellStart"/>
            <w:r>
              <w:t>hrt</w:t>
            </w:r>
            <w:proofErr w:type="spellEnd"/>
            <w:r>
              <w:t xml:space="preserve"> as lower risk </w:t>
            </w:r>
          </w:p>
          <w:p w:rsidR="00FD7144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t xml:space="preserve">Switch to CC preps at 55 </w:t>
            </w:r>
          </w:p>
          <w:p w:rsidR="000C2DC7" w:rsidRPr="0010608B" w:rsidRDefault="00FD7144" w:rsidP="00952CAE">
            <w:pPr>
              <w:pStyle w:val="ListParagraph"/>
              <w:numPr>
                <w:ilvl w:val="0"/>
                <w:numId w:val="1"/>
              </w:numPr>
            </w:pPr>
            <w:r>
              <w:t xml:space="preserve">After endometrial ablation use CC prep as can still get trapped pockets of </w:t>
            </w:r>
            <w:proofErr w:type="spellStart"/>
            <w:r>
              <w:t>endomterium</w:t>
            </w:r>
            <w:proofErr w:type="spellEnd"/>
            <w:r>
              <w:t xml:space="preserve"> which can cause bleeding</w:t>
            </w:r>
          </w:p>
        </w:tc>
      </w:tr>
    </w:tbl>
    <w:p w:rsidR="001B2E8D" w:rsidRPr="0010608B" w:rsidRDefault="001B2E8D"/>
    <w:sectPr w:rsidR="001B2E8D" w:rsidRPr="00106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E6A9F"/>
    <w:multiLevelType w:val="hybridMultilevel"/>
    <w:tmpl w:val="54EC3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C7"/>
    <w:rsid w:val="000C2DC7"/>
    <w:rsid w:val="0010608B"/>
    <w:rsid w:val="001738B9"/>
    <w:rsid w:val="0017437E"/>
    <w:rsid w:val="001B2E8D"/>
    <w:rsid w:val="00615B84"/>
    <w:rsid w:val="00952CAE"/>
    <w:rsid w:val="009C332E"/>
    <w:rsid w:val="00A17AD9"/>
    <w:rsid w:val="00F869FA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D2A8B-F5DD-4F0C-AD68-3D2CDE91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Wright</dc:creator>
  <cp:keywords/>
  <dc:description/>
  <cp:lastModifiedBy>Paula Wright</cp:lastModifiedBy>
  <cp:revision>2</cp:revision>
  <dcterms:created xsi:type="dcterms:W3CDTF">2016-06-13T11:30:00Z</dcterms:created>
  <dcterms:modified xsi:type="dcterms:W3CDTF">2016-06-13T11:30:00Z</dcterms:modified>
</cp:coreProperties>
</file>